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Calibri" w:hAnsi="Calibri"/>
          <w:sz w:val="24"/>
        </w:rPr>
        <w:t>ALLEGATO A</w:t>
      </w:r>
    </w:p>
    <w:p>
      <w:pPr>
        <w:spacing w:after="60"/>
        <w:jc w:val="center"/>
      </w:pPr>
      <w:r>
        <w:rPr>
          <w:rFonts w:ascii="Calibri" w:hAnsi="Calibri"/>
          <w:b/>
          <w:i w:val="0"/>
          <w:color w:val="1F4E79"/>
          <w:sz w:val="28"/>
        </w:rPr>
        <w:t>TITOLI DI STUDIO UNIVERSITARI E AFAM AMMESSI</w:t>
      </w:r>
    </w:p>
    <w:p>
      <w:pPr>
        <w:spacing w:after="200"/>
        <w:jc w:val="center"/>
      </w:pPr>
      <w:r>
        <w:rPr>
          <w:rFonts w:ascii="Calibri" w:hAnsi="Calibri"/>
          <w:b/>
          <w:i w:val="0"/>
          <w:sz w:val="22"/>
        </w:rPr>
        <w:t>Procedura selettiva per n. 1 posto di Direttore della Biblioteca – Area delle Elevate Qualificazioni</w:t>
      </w:r>
    </w:p>
    <w:p>
      <w:pPr>
        <w:spacing w:after="120"/>
      </w:pPr>
      <w:r>
        <w:rPr>
          <w:rFonts w:ascii="Calibri" w:hAnsi="Calibri"/>
          <w:b w:val="0"/>
          <w:i w:val="0"/>
          <w:sz w:val="24"/>
        </w:rPr>
        <w:t>Il presente Allegato individua, in coerenza con l’articolo 5 del bando, i titoli universitari e i diplomi accademici AFAM di secondo livello ammessi alla procedura. Il possesso di uno dei titoli elencati deve essere congiunto al requisito integrativo indicato nella colonna “Gruppo”, secondo le disposizioni del bando.</w:t>
      </w:r>
    </w:p>
    <w:p>
      <w:pPr>
        <w:spacing w:after="40"/>
      </w:pPr>
      <w:r>
        <w:rPr>
          <w:rFonts w:ascii="Calibri" w:hAnsi="Calibri"/>
          <w:b/>
          <w:i w:val="0"/>
          <w:sz w:val="24"/>
        </w:rPr>
        <w:t xml:space="preserve">Gruppo A – percorsi biblioteconomici, archivistici, documentari o di conservazione: </w:t>
      </w:r>
      <w:r>
        <w:rPr>
          <w:rFonts w:ascii="Calibri" w:hAnsi="Calibri"/>
          <w:b w:val="0"/>
          <w:i w:val="0"/>
          <w:sz w:val="24"/>
        </w:rPr>
        <w:t>è richiesto uno dei requisiti integrativi di carattere musicologico o storico-musicale previsti dall’articolo 5 del bando.</w:t>
      </w:r>
    </w:p>
    <w:p>
      <w:pPr>
        <w:spacing w:after="140"/>
      </w:pPr>
      <w:r>
        <w:rPr>
          <w:rFonts w:ascii="Calibri" w:hAnsi="Calibri"/>
          <w:b/>
          <w:i w:val="0"/>
          <w:sz w:val="24"/>
        </w:rPr>
        <w:t xml:space="preserve">Gruppo B – percorsi musicologici, musicali, storici, filologici, letterari o dei beni culturali: </w:t>
      </w:r>
      <w:r>
        <w:rPr>
          <w:rFonts w:ascii="Calibri" w:hAnsi="Calibri"/>
          <w:b w:val="0"/>
          <w:i w:val="0"/>
          <w:sz w:val="24"/>
        </w:rPr>
        <w:t>è richiesto uno dei requisiti integrativi di carattere biblioteconomico, bibliografico, archivistico o documentario previsti dall’articolo 5 del bando.</w:t>
      </w:r>
    </w:p>
    <w:p>
      <w:pPr>
        <w:pStyle w:val="Heading1"/>
        <w:keepNext/>
        <w:spacing w:before="160" w:after="100"/>
      </w:pPr>
      <w:r>
        <w:rPr>
          <w:rFonts w:ascii="Calibri" w:hAnsi="Calibri"/>
          <w:b/>
          <w:i w:val="0"/>
          <w:color w:val="1F4E79"/>
          <w:sz w:val="24"/>
        </w:rPr>
        <w:t>1. Lauree magistrali – D.M. 270/2004 e successive modificazioni</w:t>
      </w:r>
    </w:p>
    <w:tbl>
      <w:tblPr>
        <w:tblStyle w:val="TableGrid"/>
        <w:tblW w:type="auto" w:w="0"/>
        <w:jc w:val="center"/>
        <w:tblLayout w:type="fixed"/>
        <w:tblLook w:firstColumn="1" w:firstRow="1" w:lastColumn="0" w:lastRow="0" w:noHBand="0" w:noVBand="1" w:val="04A0"/>
      </w:tblPr>
      <w:tblGrid>
        <w:gridCol w:w="1247"/>
        <w:gridCol w:w="7483"/>
        <w:gridCol w:w="1020"/>
      </w:tblGrid>
      <w:tr>
        <w:trPr>
          <w:tblHeader w:val="true"/>
        </w:trPr>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Classe</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Denominazione</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Gruppo</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LM-5</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Archivistica e biblioteconomia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A</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LM-11</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Scienze per la conservazione dei beni culturali*</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LM-14</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Filologia moderna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LM-15</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Filologia, letterature e storia dell’antichità</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LM-19</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Informazione e sistemi editoriali</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LM-43</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Metodologie informatiche per le discipline umanistiche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LM-45</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Musicologia e beni musicali**</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LM-65</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Scienze dello spettacolo e produzione multimediale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LM-84</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Scienze storiche</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LM-89</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Storia dell’arte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bl>
    <w:p>
      <w:pPr>
        <w:spacing w:after="0"/>
      </w:pPr>
    </w:p>
    <w:p>
      <w:pPr>
        <w:pStyle w:val="Heading1"/>
        <w:keepNext/>
        <w:spacing w:before="160" w:after="100"/>
      </w:pPr>
      <w:r>
        <w:rPr>
          <w:rFonts w:ascii="Calibri" w:hAnsi="Calibri"/>
          <w:b/>
          <w:i w:val="0"/>
          <w:color w:val="1F4E79"/>
          <w:sz w:val="24"/>
        </w:rPr>
        <w:t>2. Lauree specialistiche – D.M. 509/1999</w:t>
      </w:r>
    </w:p>
    <w:tbl>
      <w:tblPr>
        <w:tblStyle w:val="TableGrid"/>
        <w:tblW w:type="auto" w:w="0"/>
        <w:jc w:val="center"/>
        <w:tblLayout w:type="fixed"/>
        <w:tblLook w:firstColumn="1" w:firstRow="1" w:lastColumn="0" w:lastRow="0" w:noHBand="0" w:noVBand="1" w:val="04A0"/>
      </w:tblPr>
      <w:tblGrid>
        <w:gridCol w:w="1247"/>
        <w:gridCol w:w="7483"/>
        <w:gridCol w:w="1020"/>
      </w:tblGrid>
      <w:tr>
        <w:trPr>
          <w:tblHeader w:val="true"/>
        </w:trPr>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Classe</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Denominazione</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Gruppo</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5/S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Archivistica e biblioteconomia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A</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12/S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Conservazione e restauro del patrimonio storico-artistico</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13/S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Editoria, comunicazione multimediale e giornalismo</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15/S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Filologia e letterature dell’antichità</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16/S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Filologia moderna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24/S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Informatica per le discipline umanistiche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40/S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Lingua e cultura italiana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51/S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Musicologia e beni musicali</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73/S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Scienze dello spettacolo e della produzione multimediale</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93/S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Storia antica</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94/S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Storia contemporanea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95/S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Storia dell’arte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97/S</w:t>
            </w:r>
          </w:p>
        </w:tc>
        <w:tc>
          <w:tcPr>
            <w:tcW w:type="dxa" w:w="7483"/>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Storia medievale</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247"/>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98/S</w:t>
            </w:r>
          </w:p>
        </w:tc>
        <w:tc>
          <w:tcPr>
            <w:tcW w:type="dxa" w:w="7483"/>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Storia moderna</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bl>
    <w:p>
      <w:pPr>
        <w:spacing w:after="0"/>
      </w:pPr>
    </w:p>
    <w:p>
      <w:pPr>
        <w:pStyle w:val="Heading1"/>
        <w:keepNext/>
        <w:spacing w:before="160" w:after="100"/>
      </w:pPr>
      <w:r>
        <w:rPr>
          <w:rFonts w:ascii="Calibri" w:hAnsi="Calibri"/>
          <w:b/>
          <w:i w:val="0"/>
          <w:color w:val="1F4E79"/>
          <w:sz w:val="24"/>
        </w:rPr>
        <w:t>3. Diplomi di laurea del previgente ordinamento</w:t>
      </w:r>
    </w:p>
    <w:tbl>
      <w:tblPr>
        <w:tblStyle w:val="TableGrid"/>
        <w:tblW w:type="auto" w:w="0"/>
        <w:jc w:val="center"/>
        <w:tblLayout w:type="fixed"/>
        <w:tblLook w:firstColumn="1" w:firstRow="1" w:lastColumn="0" w:lastRow="0" w:noHBand="0" w:noVBand="1" w:val="04A0"/>
      </w:tblPr>
      <w:tblGrid>
        <w:gridCol w:w="4365"/>
        <w:gridCol w:w="4365"/>
        <w:gridCol w:w="1020"/>
      </w:tblGrid>
      <w:tr>
        <w:trPr>
          <w:tblHeader w:val="true"/>
        </w:trPr>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Denominazione del diploma di laurea</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Riferimento/condizione</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Gruppo</w:t>
            </w:r>
          </w:p>
        </w:tc>
      </w:tr>
      <w:tr>
        <w:trPr>
          <w:cantSplit/>
        </w:trPr>
        <w:tc>
          <w:tcPr>
            <w:tcW w:type="dxa" w:w="4365"/>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Conservazione dei beni culturali</w:t>
            </w:r>
          </w:p>
        </w:tc>
        <w:tc>
          <w:tcPr>
            <w:tcW w:type="dxa" w:w="4365"/>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D.I. 9 luglio 2009; attestazione dell’Ateneo se necessaria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Discipline delle arti, della musica e dello spettacolo</w:t>
            </w:r>
          </w:p>
        </w:tc>
        <w:tc>
          <w:tcPr>
            <w:tcW w:type="dxa" w:w="4365"/>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D.I. 9 luglio 2009</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Lettere</w:t>
            </w:r>
          </w:p>
        </w:tc>
        <w:tc>
          <w:tcPr>
            <w:tcW w:type="dxa" w:w="4365"/>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D.I. 9 luglio 2009; attestazione dell’Ateneo se necessaria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Lingua e cultura italiana</w:t>
            </w:r>
          </w:p>
        </w:tc>
        <w:tc>
          <w:tcPr>
            <w:tcW w:type="dxa" w:w="4365"/>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D.I. 9 luglio 2009</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Materie letterarie</w:t>
            </w:r>
          </w:p>
        </w:tc>
        <w:tc>
          <w:tcPr>
            <w:tcW w:type="dxa" w:w="4365"/>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D.I. 9 luglio 2009</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Musicologia</w:t>
            </w:r>
          </w:p>
        </w:tc>
        <w:tc>
          <w:tcPr>
            <w:tcW w:type="dxa" w:w="4365"/>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D.I. 9 luglio 2009</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Storia</w:t>
            </w:r>
          </w:p>
        </w:tc>
        <w:tc>
          <w:tcPr>
            <w:tcW w:type="dxa" w:w="4365"/>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D.I. 9 luglio 2009</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4365"/>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Storia e conservazione dei beni culturali</w:t>
            </w:r>
          </w:p>
        </w:tc>
        <w:tc>
          <w:tcPr>
            <w:tcW w:type="dxa" w:w="4365"/>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D.I. 9 luglio 2009; attestazione dell’Ateneo se necessaria</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bl>
    <w:p>
      <w:pPr>
        <w:spacing w:after="0"/>
      </w:pPr>
    </w:p>
    <w:p>
      <w:pPr>
        <w:pStyle w:val="Heading1"/>
        <w:keepNext/>
        <w:spacing w:before="160" w:after="100"/>
      </w:pPr>
      <w:r>
        <w:rPr>
          <w:rFonts w:ascii="Calibri" w:hAnsi="Calibri"/>
          <w:b/>
          <w:i w:val="0"/>
          <w:color w:val="1F4E79"/>
          <w:sz w:val="24"/>
        </w:rPr>
        <w:t>4. Diplomi accademici di Conservatorio – secondo livello e previgente ordinamento</w:t>
      </w:r>
    </w:p>
    <w:tbl>
      <w:tblPr>
        <w:tblStyle w:val="TableGrid"/>
        <w:tblW w:type="auto" w:w="0"/>
        <w:jc w:val="center"/>
        <w:tblLayout w:type="fixed"/>
        <w:tblLook w:firstColumn="1" w:firstRow="1" w:lastColumn="0" w:lastRow="0" w:noHBand="0" w:noVBand="1" w:val="04A0"/>
      </w:tblPr>
      <w:tblGrid>
        <w:gridCol w:w="1814"/>
        <w:gridCol w:w="6917"/>
        <w:gridCol w:w="1020"/>
      </w:tblGrid>
      <w:tr>
        <w:trPr>
          <w:tblHeader w:val="true"/>
        </w:trPr>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Codice/tipologia</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Denominazione o ambito</w:t>
            </w:r>
          </w:p>
        </w:tc>
        <w:tc>
          <w:tcPr>
            <w:tcW w:type="dxa" w:w="3289"/>
            <w:vAlign w:val="center"/>
            <w:tcMar>
              <w:top w:w="90" w:type="dxa"/>
              <w:start w:w="110" w:type="dxa"/>
              <w:bottom w:w="90" w:type="dxa"/>
              <w:end w:w="110" w:type="dxa"/>
            </w:tcMar>
            <w:shd w:fill="1F4E79"/>
          </w:tcPr>
          <w:p>
            <w:pPr>
              <w:spacing w:before="0" w:after="0" w:line="240" w:lineRule="auto"/>
              <w:jc w:val="center"/>
            </w:pPr>
            <w:r/>
            <w:r>
              <w:rPr>
                <w:rFonts w:ascii="Calibri" w:hAnsi="Calibri"/>
                <w:b/>
                <w:i w:val="0"/>
                <w:color w:val="FFFFFF"/>
                <w:sz w:val="24"/>
              </w:rPr>
              <w:t>Gruppo</w:t>
            </w:r>
          </w:p>
        </w:tc>
      </w:tr>
      <w:tr>
        <w:trPr>
          <w:cantSplit/>
        </w:trPr>
        <w:tc>
          <w:tcPr>
            <w:tcW w:type="dxa" w:w="1814"/>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DCSL/69</w:t>
            </w:r>
          </w:p>
        </w:tc>
        <w:tc>
          <w:tcPr>
            <w:tcW w:type="dxa" w:w="6917"/>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Discipline storiche, critiche e analitiche della musica</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814"/>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DCSL/15</w:t>
            </w:r>
          </w:p>
        </w:tc>
        <w:tc>
          <w:tcPr>
            <w:tcW w:type="dxa" w:w="6917"/>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Composizione</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r>
        <w:trPr>
          <w:cantSplit/>
        </w:trPr>
        <w:tc>
          <w:tcPr>
            <w:tcW w:type="dxa" w:w="1814"/>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Biennio sperimentale</w:t>
            </w:r>
          </w:p>
        </w:tc>
        <w:tc>
          <w:tcPr>
            <w:tcW w:type="dxa" w:w="6917"/>
            <w:vAlign w:val="center"/>
            <w:tcMar>
              <w:top w:w="90" w:type="dxa"/>
              <w:start w:w="110" w:type="dxa"/>
              <w:bottom w:w="90" w:type="dxa"/>
              <w:end w:w="110" w:type="dxa"/>
            </w:tcMar>
          </w:tcPr>
          <w:p>
            <w:pPr>
              <w:spacing w:before="0" w:after="0" w:line="240" w:lineRule="auto"/>
              <w:jc w:val="left"/>
            </w:pPr>
            <w:r/>
            <w:r>
              <w:rPr>
                <w:rFonts w:ascii="Calibri" w:hAnsi="Calibri"/>
                <w:b w:val="0"/>
                <w:i w:val="0"/>
                <w:sz w:val="24"/>
              </w:rPr>
              <w:t>Musicologia, beni musicali o discipline storiche, critiche e analitiche della musica, purché il titolo sia stato autorizzato o riconosciuto dal MUR come diploma accademico di secondo livello</w:t>
            </w:r>
          </w:p>
        </w:tc>
        <w:tc>
          <w:tcPr>
            <w:tcW w:type="dxa" w:w="1020"/>
            <w:vAlign w:val="center"/>
            <w:tcMar>
              <w:top w:w="90" w:type="dxa"/>
              <w:start w:w="110" w:type="dxa"/>
              <w:bottom w:w="90" w:type="dxa"/>
              <w:end w:w="110" w:type="dxa"/>
            </w:tcMar>
          </w:tcPr>
          <w:p>
            <w:pPr>
              <w:spacing w:before="0" w:after="0" w:line="240" w:lineRule="auto"/>
              <w:jc w:val="center"/>
            </w:pPr>
            <w:r/>
            <w:r>
              <w:rPr>
                <w:rFonts w:ascii="Calibri" w:hAnsi="Calibri"/>
                <w:b w:val="0"/>
                <w:i w:val="0"/>
                <w:sz w:val="24"/>
              </w:rPr>
              <w:t>B</w:t>
            </w:r>
          </w:p>
        </w:tc>
      </w:tr>
      <w:tr>
        <w:trPr>
          <w:cantSplit/>
        </w:trPr>
        <w:tc>
          <w:tcPr>
            <w:tcW w:type="dxa" w:w="1814"/>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Previgente ordinamento</w:t>
            </w:r>
          </w:p>
        </w:tc>
        <w:tc>
          <w:tcPr>
            <w:tcW w:type="dxa" w:w="6917"/>
            <w:vAlign w:val="center"/>
            <w:tcMar>
              <w:top w:w="90" w:type="dxa"/>
              <w:start w:w="110" w:type="dxa"/>
              <w:bottom w:w="90" w:type="dxa"/>
              <w:end w:w="110" w:type="dxa"/>
            </w:tcMar>
            <w:shd w:fill="F3F6F9"/>
          </w:tcPr>
          <w:p>
            <w:pPr>
              <w:spacing w:before="0" w:after="0" w:line="240" w:lineRule="auto"/>
              <w:jc w:val="left"/>
            </w:pPr>
            <w:r/>
            <w:r>
              <w:rPr>
                <w:rFonts w:ascii="Calibri" w:hAnsi="Calibri"/>
                <w:b w:val="0"/>
                <w:i w:val="0"/>
                <w:sz w:val="24"/>
              </w:rPr>
              <w:t>Diploma di Musicologia o di Composizione, congiunto al diploma di istruzione secondaria di secondo grado ove richiesto ai fini dell’equiparazione al diploma accademico di secondo livello</w:t>
            </w:r>
          </w:p>
        </w:tc>
        <w:tc>
          <w:tcPr>
            <w:tcW w:type="dxa" w:w="1020"/>
            <w:vAlign w:val="center"/>
            <w:tcMar>
              <w:top w:w="90" w:type="dxa"/>
              <w:start w:w="110" w:type="dxa"/>
              <w:bottom w:w="90" w:type="dxa"/>
              <w:end w:w="110" w:type="dxa"/>
            </w:tcMar>
            <w:shd w:fill="F3F6F9"/>
          </w:tcPr>
          <w:p>
            <w:pPr>
              <w:spacing w:before="0" w:after="0" w:line="240" w:lineRule="auto"/>
              <w:jc w:val="center"/>
            </w:pPr>
            <w:r/>
            <w:r>
              <w:rPr>
                <w:rFonts w:ascii="Calibri" w:hAnsi="Calibri"/>
                <w:b w:val="0"/>
                <w:i w:val="0"/>
                <w:sz w:val="24"/>
              </w:rPr>
              <w:t>B</w:t>
            </w:r>
          </w:p>
        </w:tc>
      </w:tr>
    </w:tbl>
    <w:p>
      <w:pPr>
        <w:spacing w:after="0"/>
      </w:pPr>
    </w:p>
    <w:p>
      <w:pPr>
        <w:keepLines/>
        <w:spacing w:after="120"/>
      </w:pPr>
      <w:r>
        <w:rPr>
          <w:rFonts w:ascii="Calibri" w:hAnsi="Calibri"/>
          <w:b/>
          <w:i w:val="0"/>
          <w:sz w:val="24"/>
        </w:rPr>
        <w:t xml:space="preserve">Precisazione: </w:t>
      </w:r>
      <w:r>
        <w:rPr>
          <w:rFonts w:ascii="Calibri" w:hAnsi="Calibri"/>
          <w:b w:val="0"/>
          <w:i w:val="0"/>
          <w:sz w:val="24"/>
        </w:rPr>
        <w:t>il DCSL/69 costituisce il titolo AFAM più direttamente coerente con il profilo bibliotecario musicale. Il DCSL/15 e gli altri titoli indicati sono ammessi soltanto con il requisito integrativo biblioteconomico, bibliografico, archivistico o documentario previsto dall’articolo 5 del bando. Non sono ammessi, per il solo fatto di essere diplomi di Conservatorio, i diplomi accademici di secondo livello a indirizzo esclusivamente esecutivo o strumentale.</w:t>
      </w:r>
    </w:p>
    <w:p>
      <w:pPr>
        <w:pStyle w:val="Heading1"/>
        <w:keepNext/>
        <w:spacing w:before="160" w:after="100"/>
      </w:pPr>
      <w:r>
        <w:rPr>
          <w:rFonts w:ascii="Calibri" w:hAnsi="Calibri"/>
          <w:b/>
          <w:i w:val="0"/>
          <w:color w:val="1F4E79"/>
          <w:sz w:val="24"/>
        </w:rPr>
        <w:t>5. Regole di equiparazione e verifica</w:t>
      </w:r>
    </w:p>
    <w:p>
      <w:pPr>
        <w:keepLines/>
        <w:spacing w:after="80"/>
        <w:ind w:left="340" w:hanging="340"/>
      </w:pPr>
      <w:r>
        <w:rPr>
          <w:rFonts w:ascii="Calibri" w:hAnsi="Calibri"/>
          <w:b/>
          <w:i w:val="0"/>
          <w:sz w:val="24"/>
        </w:rPr>
        <w:t xml:space="preserve">1. </w:t>
      </w:r>
      <w:r>
        <w:rPr>
          <w:rFonts w:ascii="Calibri" w:hAnsi="Calibri"/>
          <w:b w:val="0"/>
          <w:i w:val="0"/>
          <w:sz w:val="24"/>
        </w:rPr>
        <w:t>Le equiparazioni tra diplomi di laurea del previgente ordinamento, lauree specialistiche e lauree magistrali sono applicate ai sensi del decreto interministeriale 9 luglio 2009, pubblicato nella Gazzetta Ufficiale n. 233 del 7 ottobre 2009, e successive modificazioni.</w:t>
      </w:r>
    </w:p>
    <w:p>
      <w:pPr>
        <w:keepLines/>
        <w:spacing w:after="80"/>
        <w:ind w:left="340" w:hanging="340"/>
      </w:pPr>
      <w:r>
        <w:rPr>
          <w:rFonts w:ascii="Calibri" w:hAnsi="Calibri"/>
          <w:b/>
          <w:i w:val="0"/>
          <w:sz w:val="24"/>
        </w:rPr>
        <w:t xml:space="preserve">2. </w:t>
      </w:r>
      <w:r>
        <w:rPr>
          <w:rFonts w:ascii="Calibri" w:hAnsi="Calibri"/>
          <w:b w:val="0"/>
          <w:i w:val="0"/>
          <w:sz w:val="24"/>
        </w:rPr>
        <w:t>Quando un diploma di laurea del previgente ordinamento corrisponde a più classi di laurea specialistica o magistrale, la corrispondenza è tassativamente alternativa. Il candidato deve pertanto allegare l’attestazione rilasciata dall’Ateneo che ha conferito il titolo, dalla quale risulti la singola classe cui il diploma è equiparato, secondo l’articolo 2 del decreto interministeriale 9 luglio 2009.</w:t>
      </w:r>
    </w:p>
    <w:p>
      <w:pPr>
        <w:keepLines/>
        <w:spacing w:after="80"/>
        <w:ind w:left="340" w:hanging="340"/>
      </w:pPr>
      <w:r>
        <w:rPr>
          <w:rFonts w:ascii="Calibri" w:hAnsi="Calibri"/>
          <w:b/>
          <w:i w:val="0"/>
          <w:sz w:val="24"/>
        </w:rPr>
        <w:t xml:space="preserve">3. </w:t>
      </w:r>
      <w:r>
        <w:rPr>
          <w:rFonts w:ascii="Calibri" w:hAnsi="Calibri"/>
          <w:b w:val="0"/>
          <w:i w:val="0"/>
          <w:sz w:val="24"/>
        </w:rPr>
        <w:t>La mera denominazione del corso di studio non sostituisce l’indicazione della classe. Per i titoli specialistici e magistrali il candidato deve dichiarare la classe di appartenenza e l’ordinamento di conseguimento.</w:t>
      </w:r>
    </w:p>
    <w:p>
      <w:pPr>
        <w:keepLines/>
        <w:spacing w:after="80"/>
        <w:ind w:left="340" w:hanging="340"/>
      </w:pPr>
      <w:r>
        <w:rPr>
          <w:rFonts w:ascii="Calibri" w:hAnsi="Calibri"/>
          <w:b/>
          <w:i w:val="0"/>
          <w:sz w:val="24"/>
        </w:rPr>
        <w:t xml:space="preserve">4. </w:t>
      </w:r>
      <w:r>
        <w:rPr>
          <w:rFonts w:ascii="Calibri" w:hAnsi="Calibri"/>
          <w:b w:val="0"/>
          <w:i w:val="0"/>
          <w:sz w:val="24"/>
        </w:rPr>
        <w:t>Restano ferme le equipollenze stabilite da specifiche disposizioni di legge, nonché l’ammissione dei titoli conseguiti all’estero riconosciuti equivalenti ai sensi della normativa vigente.</w:t>
      </w:r>
    </w:p>
    <w:p>
      <w:pPr>
        <w:keepLines/>
        <w:spacing w:after="80"/>
        <w:ind w:left="340" w:hanging="340"/>
      </w:pPr>
      <w:r>
        <w:rPr>
          <w:rFonts w:ascii="Calibri" w:hAnsi="Calibri"/>
          <w:b/>
          <w:i w:val="0"/>
          <w:sz w:val="24"/>
        </w:rPr>
        <w:t xml:space="preserve">5. </w:t>
      </w:r>
      <w:r>
        <w:rPr>
          <w:rFonts w:ascii="Calibri" w:hAnsi="Calibri"/>
          <w:b w:val="0"/>
          <w:i w:val="0"/>
          <w:sz w:val="24"/>
        </w:rPr>
        <w:t>Il titolo principale e il requisito integrativo devono essere posseduti entro il termine di scadenza per la presentazione della domanda.</w:t>
      </w:r>
    </w:p>
    <w:p>
      <w:pPr>
        <w:keepLines/>
        <w:spacing w:after="80"/>
        <w:ind w:left="340" w:hanging="340"/>
      </w:pPr>
      <w:r>
        <w:rPr>
          <w:rFonts w:ascii="Calibri" w:hAnsi="Calibri"/>
          <w:b/>
          <w:i w:val="0"/>
          <w:sz w:val="24"/>
        </w:rPr>
        <w:t xml:space="preserve">6. </w:t>
      </w:r>
      <w:r>
        <w:rPr>
          <w:rFonts w:ascii="Calibri" w:hAnsi="Calibri"/>
          <w:b w:val="0"/>
          <w:i w:val="0"/>
          <w:sz w:val="24"/>
        </w:rPr>
        <w:t>Per i diplomi accademici del previgente ordinamento l’equiparazione al diploma accademico di secondo livello opera alle condizioni stabilite dalla normativa vigente e, in particolare, congiuntamente al possesso del diploma di istruzione secondaria di secondo grado quando richiesto. La Commissione verifica la denominazione, l’ordinamento e l’effettiva coerenza del titolo con gli ambiti indicati nel bando.</w:t>
      </w:r>
    </w:p>
    <w:p>
      <w:pPr>
        <w:pStyle w:val="Heading1"/>
        <w:keepNext/>
        <w:spacing w:before="160" w:after="100"/>
      </w:pPr>
      <w:r>
        <w:rPr>
          <w:rFonts w:ascii="Calibri" w:hAnsi="Calibri"/>
          <w:b/>
          <w:i w:val="0"/>
          <w:color w:val="1F4E79"/>
          <w:sz w:val="24"/>
        </w:rPr>
        <w:t>6. Precisazioni sulle denominazioni</w:t>
      </w:r>
    </w:p>
    <w:p>
      <w:pPr>
        <w:keepLines/>
        <w:spacing w:after="60"/>
      </w:pPr>
      <w:r>
        <w:rPr>
          <w:rFonts w:ascii="Calibri" w:hAnsi="Calibri"/>
          <w:b w:val="0"/>
          <w:i w:val="0"/>
          <w:sz w:val="24"/>
        </w:rPr>
        <w:t>* La classe LM-11 è stata ridenominata “Scienze per la conservazione dei beni culturali” dal D.M. 19 dicembre 2023, n. 1649; sono compresi i titoli della medesima classe conseguiti con la precedente denominazione “Conservazione e restauro dei beni culturali”.</w:t>
      </w:r>
    </w:p>
    <w:p>
      <w:pPr>
        <w:keepLines/>
        <w:spacing w:after="60"/>
      </w:pPr>
      <w:r>
        <w:rPr>
          <w:rFonts w:ascii="Calibri" w:hAnsi="Calibri"/>
          <w:b w:val="0"/>
          <w:i w:val="0"/>
          <w:sz w:val="24"/>
        </w:rPr>
        <w:t>** La classe LM-45 è stata ridenominata “Musicologia e beni musicali” dal D.M. 19 dicembre 2023, n. 1649; sono compresi i titoli della medesima classe conseguiti con la precedente denominazione “Musicologia e beni culturali”.</w:t>
      </w:r>
    </w:p>
    <w:sectPr w:rsidR="00FC693F" w:rsidRPr="0006063C" w:rsidSect="00034616">
      <w:footerReference w:type="default" r:id="rId9"/>
      <w:pgSz w:w="11906" w:h="16838"/>
      <w:pgMar w:top="1020" w:right="1020" w:bottom="1020"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646464"/>
        <w:sz w:val="18"/>
      </w:rPr>
      <w:t>Allegato A – Titoli di studio universitari e AFAM ammessi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Titoli di studio universitari e AFAM ammessi</dc:title>
  <dc:subject>Procedura selettiva Direttore della Biblioteca</dc:subject>
  <dc:creator>Conservatorio Statale di Musica Domenico Cimarosa – Avellino</dc:creator>
  <cp:keywords/>
  <dc:description>generated by python-docx</dc:description>
  <cp:lastModifiedBy/>
  <cp:revision>1</cp:revision>
  <dcterms:created xsi:type="dcterms:W3CDTF">2013-12-23T23:15:00Z</dcterms:created>
  <dcterms:modified xsi:type="dcterms:W3CDTF">2013-12-23T23:15:00Z</dcterms:modified>
  <cp:category/>
</cp:coreProperties>
</file>